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30" w:rsidRPr="00526030" w:rsidRDefault="00526030" w:rsidP="00526030">
      <w:pPr>
        <w:pBdr>
          <w:bottom w:val="single" w:sz="24" w:space="11" w:color="87B4E2"/>
        </w:pBdr>
        <w:shd w:val="clear" w:color="auto" w:fill="FFFFFF"/>
        <w:spacing w:after="225" w:line="264" w:lineRule="atLeast"/>
        <w:outlineLvl w:val="0"/>
        <w:rPr>
          <w:rFonts w:ascii="Arial" w:eastAsia="Times New Roman" w:hAnsi="Arial" w:cs="Arial"/>
          <w:b/>
          <w:bCs/>
          <w:color w:val="2558A5"/>
          <w:kern w:val="36"/>
          <w:sz w:val="48"/>
          <w:szCs w:val="48"/>
          <w:lang w:eastAsia="ru-RU"/>
        </w:rPr>
      </w:pPr>
      <w:r w:rsidRPr="00526030">
        <w:rPr>
          <w:rFonts w:ascii="Arial" w:eastAsia="Times New Roman" w:hAnsi="Arial" w:cs="Arial"/>
          <w:b/>
          <w:bCs/>
          <w:color w:val="2558A5"/>
          <w:kern w:val="36"/>
          <w:sz w:val="48"/>
          <w:szCs w:val="48"/>
          <w:lang w:eastAsia="ru-RU"/>
        </w:rPr>
        <w:t>Признаки физического насилия и неудовлетворения жизненных потребностей ребенка</w:t>
      </w:r>
    </w:p>
    <w:p w:rsidR="00526030" w:rsidRPr="00526030" w:rsidRDefault="00526030" w:rsidP="00526030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222222"/>
          <w:kern w:val="36"/>
          <w:sz w:val="54"/>
          <w:szCs w:val="54"/>
          <w:lang w:eastAsia="ru-RU"/>
        </w:rPr>
      </w:pPr>
      <w:r w:rsidRPr="00526030">
        <w:rPr>
          <w:rFonts w:ascii="inherit" w:eastAsia="Times New Roman" w:hAnsi="inherit" w:cs="Arial"/>
          <w:color w:val="222222"/>
          <w:kern w:val="36"/>
          <w:sz w:val="54"/>
          <w:szCs w:val="54"/>
          <w:lang w:eastAsia="ru-RU"/>
        </w:rPr>
        <w:t>Признаки физического насилия и неудовлетворения жизненных потребностей ребенка</w:t>
      </w:r>
    </w:p>
    <w:p w:rsidR="00526030" w:rsidRPr="00526030" w:rsidRDefault="00526030" w:rsidP="005260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•  </w:t>
      </w: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Высокий уровень осведомленности по вопросам секса и сексуальное поведение, не соответствующее возрасту ребенка </w:t>
      </w: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–С</w:t>
      </w:r>
      <w:proofErr w:type="gramEnd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пециалист должен быть осведомлен о том, что и сколько дети разного возраста должны знать о сексе, и как они должны себя вести в сексуальном плане, чтобы вовремя выявлять несоответствия.  При этом существуют некоторые поведенческие паттерны, которые зачастую свидетельствуют о нехарактерной вовлеченности в сексуальную деятельность. К ним относятся </w:t>
      </w: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следующие</w:t>
      </w:r>
      <w:proofErr w:type="gramEnd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: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Сексуально вызывающее поведение в отношении взрослых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Имитация половых актов у детей доподросткового и подросткового возраста, включая имитацию групповых половых актов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Злоупотребление мастурбацией (сверх того, что характерно для детей данного возраста)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Вовлечение других детей в игры с сексуальным подтекстом (за исключением игр, которые мотивируются нормальным любопытством и потребностью в визуальном и тактильном исследовании, таких как игры «в больницу» и взаимное раздевание, которые характерны для детей младшего возраста)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Создание и реализация сексуальных сценариев с привлечением игрушек или кукол (например, кукл</w:t>
      </w: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а-</w:t>
      </w:r>
      <w:proofErr w:type="gramEnd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«ребенок» кладет лицо на пах куклы-«папы» и говорит: «Ему это нравится»; или кукл</w:t>
      </w: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а-</w:t>
      </w:r>
      <w:proofErr w:type="gramEnd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«папа» засовывает руку под юбку куклы-«ребенка» и начинает тереть ее в области «лобка»)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Страх перед мужчинами или женщинами</w:t>
      </w:r>
    </w:p>
    <w:p w:rsidR="00526030" w:rsidRPr="00526030" w:rsidRDefault="00526030" w:rsidP="00526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Страх перед сексом у подростков (если он не может быть объяснен нормальными для подростков амбивалентностью и тревожностью)</w:t>
      </w:r>
      <w:proofErr w:type="gramEnd"/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• Некоторые дети надевают на себя </w:t>
      </w: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чрезмерно много одежды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, что можно </w:t>
      </w: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истолковать</w:t>
      </w:r>
      <w:proofErr w:type="gramEnd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 как символическую попытку спрятать или защитить свое тело. Кроме того, они могут </w:t>
      </w: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прятать 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одежду, на которой остались физические следы сексуального насилия.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• У детей, подвергшихся половому насилию, зачастую присутствуют </w:t>
      </w: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общие признаки эмоционального истощения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 xml:space="preserve">. Следует, однако, помнить о том, что 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 xml:space="preserve">эти признаки необязательно указывают на то, что имело место сексуальное насилие.  К ним относятся </w:t>
      </w:r>
      <w:proofErr w:type="gramStart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следующие</w:t>
      </w:r>
      <w:proofErr w:type="gramEnd"/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: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Страхи 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и фобии (боязнь темноты, нежелание идти в школу, на улицу, домой, страх быть оставленным в одиночестве, беспредметная тревога, боязнь конкретных людей)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Агрессивное поведение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, истерики, сцены, попытки убежать из дому, стремление ввязаться в драку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Уход от общества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, скрытность, изоляция, общее недоверие к людям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Общая раздражительность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, подверженность приступам плача, избыточная активность, неспособность сконцентрироваться</w:t>
      </w:r>
    </w:p>
    <w:p w:rsidR="00526030" w:rsidRPr="00526030" w:rsidRDefault="00526030" w:rsidP="005260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Регрессия </w:t>
      </w:r>
      <w:r w:rsidRPr="00526030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у детей младшего возраста (недержание мочи, недержание кала, сосание большого пальца, переход на «детский лепет», болезненное стремление к физической ласке)</w:t>
      </w:r>
    </w:p>
    <w:p w:rsidR="00526030" w:rsidRPr="00526030" w:rsidRDefault="00526030" w:rsidP="0052603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526030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Тревога и депрессия</w:t>
      </w:r>
    </w:p>
    <w:p w:rsidR="00D047CE" w:rsidRDefault="00D047CE"/>
    <w:sectPr w:rsidR="00D047CE" w:rsidSect="00D0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998"/>
    <w:multiLevelType w:val="multilevel"/>
    <w:tmpl w:val="A0B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30"/>
    <w:rsid w:val="00526030"/>
    <w:rsid w:val="00D0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CE"/>
  </w:style>
  <w:style w:type="paragraph" w:styleId="1">
    <w:name w:val="heading 1"/>
    <w:basedOn w:val="a"/>
    <w:link w:val="10"/>
    <w:uiPriority w:val="9"/>
    <w:qFormat/>
    <w:rsid w:val="00526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0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2024-10-23T07:25:00Z</dcterms:created>
  <dcterms:modified xsi:type="dcterms:W3CDTF">2024-10-23T07:25:00Z</dcterms:modified>
</cp:coreProperties>
</file>